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68" w:rsidRDefault="00E82968" w:rsidP="0019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2</w:t>
      </w:r>
    </w:p>
    <w:p w:rsidR="008873CF" w:rsidRDefault="00194971" w:rsidP="00E8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1">
        <w:rPr>
          <w:rFonts w:ascii="Times New Roman" w:hAnsi="Times New Roman" w:cs="Times New Roman"/>
          <w:b/>
          <w:sz w:val="28"/>
          <w:szCs w:val="28"/>
        </w:rPr>
        <w:t>Bảng giải trình góp ý</w:t>
      </w:r>
      <w:r w:rsidR="00E8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968" w:rsidRPr="00E82968">
        <w:rPr>
          <w:rFonts w:ascii="Times New Roman" w:hAnsi="Times New Roman" w:cs="Times New Roman"/>
          <w:b/>
          <w:sz w:val="28"/>
          <w:szCs w:val="28"/>
        </w:rPr>
        <w:t>“Thông tư Quy đị</w:t>
      </w:r>
      <w:r w:rsidR="000D1F95">
        <w:rPr>
          <w:rFonts w:ascii="Times New Roman" w:hAnsi="Times New Roman" w:cs="Times New Roman"/>
          <w:b/>
          <w:sz w:val="28"/>
          <w:szCs w:val="28"/>
        </w:rPr>
        <w:t>nh c</w:t>
      </w:r>
      <w:r w:rsidR="00E82968" w:rsidRPr="00E82968">
        <w:rPr>
          <w:rFonts w:ascii="Times New Roman" w:hAnsi="Times New Roman" w:cs="Times New Roman"/>
          <w:b/>
          <w:sz w:val="28"/>
          <w:szCs w:val="28"/>
        </w:rPr>
        <w:t>huẩn và sát hạch đạt chuẩn kỹ</w:t>
      </w:r>
      <w:r w:rsidR="00E82968">
        <w:rPr>
          <w:rFonts w:ascii="Times New Roman" w:hAnsi="Times New Roman" w:cs="Times New Roman"/>
          <w:b/>
          <w:sz w:val="28"/>
          <w:szCs w:val="28"/>
        </w:rPr>
        <w:t xml:space="preserve"> năng an toàn </w:t>
      </w:r>
      <w:r w:rsidR="00E82968" w:rsidRPr="00E82968">
        <w:rPr>
          <w:rFonts w:ascii="Times New Roman" w:hAnsi="Times New Roman" w:cs="Times New Roman"/>
          <w:b/>
          <w:sz w:val="28"/>
          <w:szCs w:val="28"/>
        </w:rPr>
        <w:t>thông tin mạng”</w:t>
      </w:r>
    </w:p>
    <w:p w:rsidR="000778F1" w:rsidRPr="000778F1" w:rsidRDefault="000778F1" w:rsidP="00E829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8F1">
        <w:rPr>
          <w:rFonts w:ascii="Times New Roman" w:hAnsi="Times New Roman" w:cs="Times New Roman"/>
          <w:i/>
          <w:sz w:val="28"/>
          <w:szCs w:val="28"/>
        </w:rPr>
        <w:t>(Kèm theo Phiếu trình số        /PTr-CATTT ngày      tháng      năm 2021 của Cục An toàn thông tin)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6620"/>
        <w:gridCol w:w="1843"/>
        <w:gridCol w:w="5351"/>
      </w:tblGrid>
      <w:tr w:rsidR="00194971" w:rsidTr="00D42CF2">
        <w:trPr>
          <w:jc w:val="center"/>
        </w:trPr>
        <w:tc>
          <w:tcPr>
            <w:tcW w:w="746" w:type="dxa"/>
          </w:tcPr>
          <w:p w:rsidR="00194971" w:rsidRPr="00194971" w:rsidRDefault="00194971" w:rsidP="0019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620" w:type="dxa"/>
          </w:tcPr>
          <w:p w:rsidR="00194971" w:rsidRPr="00194971" w:rsidRDefault="00194971" w:rsidP="0019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Nội dung góp ý</w:t>
            </w:r>
          </w:p>
        </w:tc>
        <w:tc>
          <w:tcPr>
            <w:tcW w:w="1843" w:type="dxa"/>
          </w:tcPr>
          <w:p w:rsidR="00194971" w:rsidRPr="00194971" w:rsidRDefault="00194971" w:rsidP="0019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Đơn vị góp ý</w:t>
            </w:r>
          </w:p>
        </w:tc>
        <w:tc>
          <w:tcPr>
            <w:tcW w:w="5351" w:type="dxa"/>
          </w:tcPr>
          <w:p w:rsidR="00194971" w:rsidRPr="00194971" w:rsidRDefault="00194971" w:rsidP="0019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Giải trình</w:t>
            </w:r>
          </w:p>
        </w:tc>
      </w:tr>
      <w:tr w:rsidR="00590A2B" w:rsidTr="002F1CCD">
        <w:trPr>
          <w:trHeight w:val="6439"/>
          <w:jc w:val="center"/>
        </w:trPr>
        <w:tc>
          <w:tcPr>
            <w:tcW w:w="746" w:type="dxa"/>
          </w:tcPr>
          <w:p w:rsidR="00590A2B" w:rsidRDefault="00590A2B" w:rsidP="008B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0" w:type="dxa"/>
          </w:tcPr>
          <w:p w:rsidR="00590A2B" w:rsidRPr="00E82968" w:rsidRDefault="00590A2B" w:rsidP="00E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1. Về phạm vi điều chỉnh:</w:t>
            </w:r>
          </w:p>
          <w:p w:rsidR="00590A2B" w:rsidRDefault="00590A2B" w:rsidP="00E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- Việc quy định chuẩn kỹ năng an toàn thông tin mạng, đề nghị rà soát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nghị rà soát Thông tư số 45/2017/TT-BTTTT quy định tiêu chuẩn chức danh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nghiệp viên chức chuyên ngành công nghệ thông tin, Thông tư 03/2014/TTBTTTT ngày 11/3/2014 của Bộ trưởng Bộ Thông tin và Truyền thông quy định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Chuẩn kỹ năng sử dụng công nghệ thông tin trong đó có chức danh về an toàn</w:t>
            </w:r>
            <w:r w:rsidR="0055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thông tin để tránh trùng lặp, nhiều văn bản cùng quy định về một nộ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dung.</w:t>
            </w:r>
          </w:p>
          <w:p w:rsidR="00590A2B" w:rsidRPr="00E82968" w:rsidRDefault="00590A2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- Về việc sát hạch cấp chứng chỉ đào tạo về an toàn thông tin mạng, Luật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an toàn thông tin giao Bộ Giáo dục và Đào tạo, Bộ Lao động - Thương binh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Xã hội, Bộ Nội vụ chủ trì, Bộ Thông tin và Truyền thông là cơ quan phối hợp</w:t>
            </w:r>
          </w:p>
          <w:p w:rsidR="00590A2B" w:rsidRDefault="00590A2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(Điều 49, Điều 50). Theo đó, Bộ Thông tin và Truyền thông không có thẩm quyền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trong việc sát hạch và cấp Chứng chỉ chuẩn kỹ năng an toàn thông tin mạng.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68">
              <w:rPr>
                <w:rFonts w:ascii="Times New Roman" w:hAnsi="Times New Roman" w:cs="Times New Roman"/>
                <w:sz w:val="28"/>
                <w:szCs w:val="28"/>
              </w:rPr>
              <w:t>nghị cân nhắc lại toàn bộ Chương III vì không phù hợp thẩm quyền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90A2B" w:rsidRDefault="005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Vụ Pháp chế</w:t>
            </w:r>
          </w:p>
          <w:p w:rsidR="00590A2B" w:rsidRDefault="00590A2B" w:rsidP="0056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90A2B" w:rsidRDefault="00590A2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Cục ATTT tiếp thu góp ý và đề xuất </w:t>
            </w:r>
            <w:r w:rsidR="005C18D6">
              <w:rPr>
                <w:rFonts w:ascii="Times New Roman" w:hAnsi="Times New Roman" w:cs="Times New Roman"/>
                <w:sz w:val="28"/>
                <w:szCs w:val="28"/>
              </w:rPr>
              <w:t>chỉnh sửa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phạm vi điều chỉnh của Thông tư từ “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Thông tư quy định chuẩn kỹ năng an toàn thông tin mạng và tiêu chuẩn sát hạch cấp chứng chỉ Chuẩn kỹ năng an toàn thông tin mạ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ng” thành “</w:t>
            </w:r>
            <w:r w:rsidR="00931027">
              <w:rPr>
                <w:rFonts w:ascii="Times New Roman" w:hAnsi="Times New Roman" w:cs="Times New Roman"/>
                <w:sz w:val="28"/>
                <w:szCs w:val="28"/>
              </w:rPr>
              <w:t xml:space="preserve">Thông tư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quy định về Chuẩn kỹ năng an toàn thông tin mạ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ng”.</w:t>
            </w:r>
          </w:p>
          <w:p w:rsidR="00590A2B" w:rsidRDefault="00590A2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đề xuất đổi tên Thông tư thành: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“ Thông tư Quy định Chuẩn kỹ năng an toàn thông tin mạng”</w:t>
            </w:r>
            <w:r w:rsidR="006A5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41287B" w:rsidTr="00D42CF2">
        <w:trPr>
          <w:jc w:val="center"/>
        </w:trPr>
        <w:tc>
          <w:tcPr>
            <w:tcW w:w="746" w:type="dxa"/>
          </w:tcPr>
          <w:p w:rsidR="0041287B" w:rsidRDefault="0041287B" w:rsidP="0088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0" w:type="dxa"/>
          </w:tcPr>
          <w:p w:rsidR="0041287B" w:rsidRDefault="0041287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- Việc quy định các điều kiện cho đơn vị tổ chức sát hạch không thuộc thẩm quyền của Bộ trưởng.</w:t>
            </w:r>
          </w:p>
        </w:tc>
        <w:tc>
          <w:tcPr>
            <w:tcW w:w="1843" w:type="dxa"/>
          </w:tcPr>
          <w:p w:rsidR="0041287B" w:rsidRDefault="0041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Vụ Pháp chế</w:t>
            </w:r>
          </w:p>
        </w:tc>
        <w:tc>
          <w:tcPr>
            <w:tcW w:w="5351" w:type="dxa"/>
            <w:vMerge w:val="restart"/>
          </w:tcPr>
          <w:p w:rsidR="0041287B" w:rsidRDefault="0041287B" w:rsidP="000E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Cục ATTT đã lược bỏ nội dung Chương 3 quy định về tổ chức sát hạch vì không phù hợp với thẩm quyền của Bộ Thông tin và Truyền thông. </w:t>
            </w:r>
          </w:p>
        </w:tc>
      </w:tr>
      <w:tr w:rsidR="0041287B" w:rsidTr="00D42CF2">
        <w:trPr>
          <w:jc w:val="center"/>
        </w:trPr>
        <w:tc>
          <w:tcPr>
            <w:tcW w:w="746" w:type="dxa"/>
          </w:tcPr>
          <w:p w:rsidR="0041287B" w:rsidRDefault="0041287B" w:rsidP="0088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0" w:type="dxa"/>
          </w:tcPr>
          <w:p w:rsidR="0041287B" w:rsidRPr="008873CF" w:rsidRDefault="0041287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- Khoản 3 Điều 6, việc phê duyệt và ban hành các đơn vị tổ chức sát 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 xml:space="preserve">đủ điều kiện vi phạm Luật ban hành văn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bản 2020 là vi phạm Luậ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ban hành văn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bản 2020, (khoản 4 Điều 14) và theo Luật Đầu tư thì việc cấp chứng chỉ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hình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thức của ngành, nghề đầu tư kinh doanh có điều kiện</w:t>
            </w:r>
            <w:r w:rsidR="008E2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1287B" w:rsidRDefault="0041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Vụ Pháp chế</w:t>
            </w:r>
          </w:p>
        </w:tc>
        <w:tc>
          <w:tcPr>
            <w:tcW w:w="5351" w:type="dxa"/>
            <w:vMerge/>
          </w:tcPr>
          <w:p w:rsidR="0041287B" w:rsidRDefault="0041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7B" w:rsidTr="00D42CF2">
        <w:trPr>
          <w:jc w:val="center"/>
        </w:trPr>
        <w:tc>
          <w:tcPr>
            <w:tcW w:w="746" w:type="dxa"/>
          </w:tcPr>
          <w:p w:rsidR="0041287B" w:rsidRDefault="0041287B" w:rsidP="0088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20" w:type="dxa"/>
          </w:tcPr>
          <w:p w:rsidR="0041287B" w:rsidRPr="008873CF" w:rsidRDefault="0041287B" w:rsidP="000D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- Khoản 2 Điều 6 dự thảo giao Cục An toàn thông tin xây dựng giá dịch vụ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sát hạch nhưng đây không thuộc loại hàng hóa, dịch vụ do nhà nước đị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giá theo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quy định tại khoản 1 Điều 19 Luật giá. Theo đó, tổ chức, doanh nghiệp sẽ tự đị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 w:rsidRPr="000D1F95">
              <w:rPr>
                <w:rFonts w:ascii="Times New Roman" w:hAnsi="Times New Roman" w:cs="Times New Roman"/>
                <w:sz w:val="28"/>
                <w:szCs w:val="28"/>
              </w:rPr>
              <w:t>giá với dịch vụ mình cung cấp.</w:t>
            </w:r>
          </w:p>
        </w:tc>
        <w:tc>
          <w:tcPr>
            <w:tcW w:w="1843" w:type="dxa"/>
          </w:tcPr>
          <w:p w:rsidR="0041287B" w:rsidRDefault="0041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Vụ Pháp chế</w:t>
            </w:r>
          </w:p>
        </w:tc>
        <w:tc>
          <w:tcPr>
            <w:tcW w:w="5351" w:type="dxa"/>
            <w:vMerge/>
          </w:tcPr>
          <w:p w:rsidR="0041287B" w:rsidRDefault="0041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971" w:rsidRDefault="00194971">
      <w:pPr>
        <w:rPr>
          <w:rFonts w:ascii="Times New Roman" w:hAnsi="Times New Roman" w:cs="Times New Roman"/>
          <w:sz w:val="28"/>
          <w:szCs w:val="28"/>
        </w:rPr>
      </w:pPr>
    </w:p>
    <w:p w:rsidR="00194971" w:rsidRDefault="00194971">
      <w:pPr>
        <w:rPr>
          <w:rFonts w:ascii="Times New Roman" w:hAnsi="Times New Roman" w:cs="Times New Roman"/>
          <w:sz w:val="28"/>
          <w:szCs w:val="28"/>
        </w:rPr>
      </w:pPr>
    </w:p>
    <w:p w:rsidR="00194971" w:rsidRPr="00194971" w:rsidRDefault="00194971">
      <w:pPr>
        <w:rPr>
          <w:rFonts w:ascii="Times New Roman" w:hAnsi="Times New Roman" w:cs="Times New Roman"/>
          <w:sz w:val="28"/>
          <w:szCs w:val="28"/>
        </w:rPr>
      </w:pPr>
    </w:p>
    <w:sectPr w:rsidR="00194971" w:rsidRPr="00194971" w:rsidSect="005656D8">
      <w:headerReference w:type="default" r:id="rId6"/>
      <w:pgSz w:w="16838" w:h="11906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39" w:rsidRDefault="00923339" w:rsidP="005656D8">
      <w:pPr>
        <w:spacing w:after="0" w:line="240" w:lineRule="auto"/>
      </w:pPr>
      <w:r>
        <w:separator/>
      </w:r>
    </w:p>
  </w:endnote>
  <w:endnote w:type="continuationSeparator" w:id="0">
    <w:p w:rsidR="00923339" w:rsidRDefault="00923339" w:rsidP="0056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39" w:rsidRDefault="00923339" w:rsidP="005656D8">
      <w:pPr>
        <w:spacing w:after="0" w:line="240" w:lineRule="auto"/>
      </w:pPr>
      <w:r>
        <w:separator/>
      </w:r>
    </w:p>
  </w:footnote>
  <w:footnote w:type="continuationSeparator" w:id="0">
    <w:p w:rsidR="00923339" w:rsidRDefault="00923339" w:rsidP="0056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2589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56D8" w:rsidRDefault="005656D8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276A9">
          <w:t>2</w:t>
        </w:r>
        <w:r>
          <w:fldChar w:fldCharType="end"/>
        </w:r>
      </w:p>
    </w:sdtContent>
  </w:sdt>
  <w:p w:rsidR="005656D8" w:rsidRDefault="00565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1"/>
    <w:rsid w:val="000778F1"/>
    <w:rsid w:val="000D1F95"/>
    <w:rsid w:val="000E07C6"/>
    <w:rsid w:val="001276A9"/>
    <w:rsid w:val="00146B16"/>
    <w:rsid w:val="00194971"/>
    <w:rsid w:val="002910C5"/>
    <w:rsid w:val="0041287B"/>
    <w:rsid w:val="004141D7"/>
    <w:rsid w:val="004C1632"/>
    <w:rsid w:val="00554F00"/>
    <w:rsid w:val="005656D8"/>
    <w:rsid w:val="00590A2B"/>
    <w:rsid w:val="005B7312"/>
    <w:rsid w:val="005C18D6"/>
    <w:rsid w:val="006A5E8B"/>
    <w:rsid w:val="008873CF"/>
    <w:rsid w:val="008B4A67"/>
    <w:rsid w:val="008B4DAC"/>
    <w:rsid w:val="008E2360"/>
    <w:rsid w:val="00923339"/>
    <w:rsid w:val="00931027"/>
    <w:rsid w:val="00A6738C"/>
    <w:rsid w:val="00D176BE"/>
    <w:rsid w:val="00D42CF2"/>
    <w:rsid w:val="00D70741"/>
    <w:rsid w:val="00E15047"/>
    <w:rsid w:val="00E82968"/>
    <w:rsid w:val="00E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7BB2"/>
  <w15:chartTrackingRefBased/>
  <w15:docId w15:val="{3BE3CD0B-F4B4-43CE-9F3F-9C91FF0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AN</dc:creator>
  <cp:keywords/>
  <dc:description/>
  <cp:lastModifiedBy>Phan Hue Duong</cp:lastModifiedBy>
  <cp:revision>17</cp:revision>
  <dcterms:created xsi:type="dcterms:W3CDTF">2021-07-16T08:34:00Z</dcterms:created>
  <dcterms:modified xsi:type="dcterms:W3CDTF">2021-07-16T10:59:00Z</dcterms:modified>
</cp:coreProperties>
</file>